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B558" w14:textId="5A3C2803" w:rsidR="008022B2" w:rsidRDefault="008022B2" w:rsidP="006D0580">
      <w:pPr>
        <w:jc w:val="center"/>
        <w:rPr>
          <w:b/>
          <w:bCs/>
        </w:rPr>
      </w:pPr>
    </w:p>
    <w:p w14:paraId="646F55D7" w14:textId="77777777" w:rsidR="008022B2" w:rsidRDefault="008022B2" w:rsidP="006D0580">
      <w:pPr>
        <w:jc w:val="center"/>
        <w:rPr>
          <w:b/>
          <w:bCs/>
        </w:rPr>
      </w:pPr>
    </w:p>
    <w:p w14:paraId="0071EE34" w14:textId="57B98E45" w:rsidR="006D0580" w:rsidRPr="006D0580" w:rsidRDefault="006D0580" w:rsidP="008022B2">
      <w:pPr>
        <w:jc w:val="center"/>
        <w:rPr>
          <w:b/>
          <w:bCs/>
        </w:rPr>
      </w:pPr>
      <w:r w:rsidRPr="006D0580">
        <w:rPr>
          <w:b/>
          <w:bCs/>
        </w:rPr>
        <w:t>INSTRUKS TIL BRUG FOR BEHANDLING AF ANKESAGER</w:t>
      </w:r>
    </w:p>
    <w:p w14:paraId="2DCBFEDC" w14:textId="1B91D363" w:rsidR="006D0580" w:rsidRPr="006D0580" w:rsidRDefault="006D0580" w:rsidP="006D0580">
      <w:pPr>
        <w:jc w:val="center"/>
      </w:pPr>
      <w:r w:rsidRPr="006D0580">
        <w:rPr>
          <w:b/>
        </w:rPr>
        <w:t>(herunder skriftlig</w:t>
      </w:r>
      <w:r w:rsidR="00C426C6">
        <w:rPr>
          <w:b/>
        </w:rPr>
        <w:t>-</w:t>
      </w:r>
      <w:r w:rsidRPr="006D0580">
        <w:rPr>
          <w:b/>
        </w:rPr>
        <w:t xml:space="preserve"> og elektronisk behandling)</w:t>
      </w:r>
    </w:p>
    <w:p w14:paraId="05FCF9B8" w14:textId="3E6BDFA3" w:rsidR="006D0580" w:rsidRPr="006D0580" w:rsidRDefault="00C426C6" w:rsidP="006D0580">
      <w:pPr>
        <w:jc w:val="center"/>
        <w:rPr>
          <w:i/>
          <w:iCs/>
        </w:rPr>
      </w:pPr>
      <w:r w:rsidRPr="00C426C6">
        <w:rPr>
          <w:i/>
          <w:iCs/>
        </w:rPr>
        <w:t>Bekendtgørelse om eksamener og prøver ved professions- og erhvervsrettede videregående uddannelse</w:t>
      </w:r>
      <w:r w:rsidR="002C10A0">
        <w:rPr>
          <w:i/>
          <w:iCs/>
        </w:rPr>
        <w:t>r</w:t>
      </w:r>
      <w:r>
        <w:rPr>
          <w:i/>
          <w:iCs/>
        </w:rPr>
        <w:t xml:space="preserve"> </w:t>
      </w:r>
    </w:p>
    <w:p w14:paraId="5504C4DF" w14:textId="5BA2DEE1" w:rsidR="006D0580" w:rsidRPr="006D0580" w:rsidRDefault="00C426C6" w:rsidP="006D0580">
      <w:pPr>
        <w:jc w:val="center"/>
        <w:rPr>
          <w:i/>
          <w:iCs/>
        </w:rPr>
      </w:pPr>
      <w:r w:rsidRPr="00C426C6">
        <w:rPr>
          <w:i/>
          <w:iCs/>
        </w:rPr>
        <w:t>BEK nr</w:t>
      </w:r>
      <w:r>
        <w:rPr>
          <w:i/>
          <w:iCs/>
        </w:rPr>
        <w:t>.</w:t>
      </w:r>
      <w:r w:rsidRPr="00C426C6">
        <w:rPr>
          <w:i/>
          <w:iCs/>
        </w:rPr>
        <w:t xml:space="preserve"> </w:t>
      </w:r>
      <w:r w:rsidR="00236016">
        <w:rPr>
          <w:i/>
          <w:iCs/>
        </w:rPr>
        <w:t>624</w:t>
      </w:r>
      <w:r w:rsidRPr="00C426C6">
        <w:rPr>
          <w:i/>
          <w:iCs/>
        </w:rPr>
        <w:t xml:space="preserve"> af </w:t>
      </w:r>
      <w:r w:rsidR="00236016">
        <w:rPr>
          <w:i/>
          <w:iCs/>
        </w:rPr>
        <w:t>02/06/2025</w:t>
      </w:r>
    </w:p>
    <w:p w14:paraId="330189F9" w14:textId="77777777" w:rsidR="006D0580" w:rsidRPr="006D0580" w:rsidRDefault="006D0580" w:rsidP="006D0580"/>
    <w:p w14:paraId="5D16E747" w14:textId="77777777" w:rsidR="006D0580" w:rsidRPr="006D0580" w:rsidRDefault="006D0580" w:rsidP="006D0580">
      <w:pPr>
        <w:rPr>
          <w:b/>
          <w:bCs/>
        </w:rPr>
      </w:pPr>
      <w:r w:rsidRPr="006D0580">
        <w:rPr>
          <w:b/>
          <w:bCs/>
        </w:rPr>
        <w:t>GENNEMLÆSES AF ANKENÆVNSMEDLEMMERNE INDEN ANKEBEHANDLINGEN</w:t>
      </w:r>
    </w:p>
    <w:p w14:paraId="52B3761E" w14:textId="77777777" w:rsidR="006D0580" w:rsidRPr="006D0580" w:rsidRDefault="006D0580" w:rsidP="006D0580">
      <w:pPr>
        <w:rPr>
          <w:b/>
        </w:rPr>
      </w:pPr>
    </w:p>
    <w:p w14:paraId="1CF86839" w14:textId="77777777" w:rsidR="00541019" w:rsidRPr="00541019" w:rsidRDefault="006D0580" w:rsidP="00541019">
      <w:pPr>
        <w:pStyle w:val="Listeafsnit"/>
        <w:numPr>
          <w:ilvl w:val="0"/>
          <w:numId w:val="10"/>
        </w:numPr>
      </w:pPr>
      <w:r w:rsidRPr="00541019">
        <w:rPr>
          <w:b/>
        </w:rPr>
        <w:t>Klager over eksamen m.v.</w:t>
      </w:r>
    </w:p>
    <w:p w14:paraId="4AB994E5" w14:textId="77777777" w:rsidR="00541019" w:rsidRPr="00541019" w:rsidRDefault="00541019" w:rsidP="00541019">
      <w:pPr>
        <w:pStyle w:val="Listeafsnit"/>
      </w:pPr>
    </w:p>
    <w:p w14:paraId="43382231" w14:textId="77777777" w:rsidR="004D7411" w:rsidRPr="004D7411" w:rsidRDefault="004D7411" w:rsidP="004D7411">
      <w:r w:rsidRPr="004D7411">
        <w:rPr>
          <w:b/>
          <w:bCs/>
        </w:rPr>
        <w:t>§ 43</w:t>
      </w:r>
      <w:r w:rsidRPr="004D7411">
        <w:t>. Faglige spørgsmål ved et uddannelsesinstitutionens afgørelse efter § 42 kan indbringes for et ankenævn efter § 44. Retlige spørgsmål kan indbringes for Uddannelses- og Forskningsstyrelsen efter § 48.</w:t>
      </w:r>
    </w:p>
    <w:p w14:paraId="5B849860" w14:textId="77777777" w:rsidR="004D7411" w:rsidRPr="004D7411" w:rsidRDefault="004D7411" w:rsidP="004D7411">
      <w:r w:rsidRPr="004D7411">
        <w:rPr>
          <w:i/>
          <w:iCs/>
        </w:rPr>
        <w:t>Stk. 2.</w:t>
      </w:r>
      <w:r w:rsidRPr="004D7411">
        <w:t> Den studerende indgiver sin skriftlige klage til institutionen, senest to uger efter at den studerende har modtaget institutionens afgørelse.</w:t>
      </w:r>
    </w:p>
    <w:p w14:paraId="7D51C263" w14:textId="0D679071" w:rsidR="006D0580" w:rsidRPr="006D0580" w:rsidRDefault="006D0580" w:rsidP="005036FA"/>
    <w:p w14:paraId="475A966B" w14:textId="77777777" w:rsidR="00625FD4" w:rsidRDefault="00A9345C" w:rsidP="00F71DB7">
      <w:pPr>
        <w:rPr>
          <w:b/>
          <w:bCs/>
        </w:rPr>
      </w:pPr>
      <w:r w:rsidRPr="00625FD4">
        <w:rPr>
          <w:b/>
          <w:bCs/>
        </w:rPr>
        <w:t>Anke</w:t>
      </w:r>
      <w:r w:rsidR="00625FD4" w:rsidRPr="00625FD4">
        <w:rPr>
          <w:b/>
          <w:bCs/>
        </w:rPr>
        <w:t>nævn</w:t>
      </w:r>
    </w:p>
    <w:p w14:paraId="1FF07B98" w14:textId="77777777" w:rsidR="001B16D7" w:rsidRPr="001B16D7" w:rsidRDefault="001B16D7" w:rsidP="001B16D7">
      <w:r w:rsidRPr="001B16D7">
        <w:rPr>
          <w:b/>
          <w:bCs/>
        </w:rPr>
        <w:t>§ 44</w:t>
      </w:r>
      <w:r w:rsidRPr="001B16D7">
        <w:t>. Ankenævnet træffer afgørelse på grundlag af det materiale, som lå til grund for uddannelsesinstitutionens afgørelse og den studerendes klage. Nævnets afgørelse skal meddeles til institutionen og klager, senest 2 måneder efter at klagen er indgivet. Juli måned indgår ikke i beregningen.</w:t>
      </w:r>
    </w:p>
    <w:p w14:paraId="67C22BB7" w14:textId="77777777" w:rsidR="001B16D7" w:rsidRPr="001B16D7" w:rsidRDefault="001B16D7" w:rsidP="003A4B6C">
      <w:r w:rsidRPr="001B16D7">
        <w:rPr>
          <w:i/>
          <w:iCs/>
        </w:rPr>
        <w:t>Stk. 2.</w:t>
      </w:r>
      <w:r w:rsidRPr="001B16D7">
        <w:t> Ankenævnets afgørelse, kan gå ud på</w:t>
      </w:r>
    </w:p>
    <w:p w14:paraId="1F13FFD9" w14:textId="77777777" w:rsidR="001B16D7" w:rsidRPr="001B16D7" w:rsidRDefault="001B16D7" w:rsidP="003A4B6C">
      <w:pPr>
        <w:ind w:left="1304"/>
      </w:pPr>
      <w:r w:rsidRPr="001B16D7">
        <w:t>1) tilbud om ny bedømmelse af en skriftlig opgave (ombedømmelse),</w:t>
      </w:r>
    </w:p>
    <w:p w14:paraId="5D4ADEAE" w14:textId="77777777" w:rsidR="001B16D7" w:rsidRPr="001B16D7" w:rsidRDefault="001B16D7" w:rsidP="003A4B6C">
      <w:pPr>
        <w:ind w:left="1304"/>
      </w:pPr>
      <w:r w:rsidRPr="001B16D7">
        <w:t>2) tilbud om ny eksamen (omprøve),</w:t>
      </w:r>
    </w:p>
    <w:p w14:paraId="1C4D918E" w14:textId="77777777" w:rsidR="001B16D7" w:rsidRPr="001B16D7" w:rsidRDefault="001B16D7" w:rsidP="003A4B6C">
      <w:pPr>
        <w:ind w:left="1304"/>
      </w:pPr>
      <w:r w:rsidRPr="001B16D7">
        <w:t>3) at klageren ikke får medhold i klagen, eller</w:t>
      </w:r>
    </w:p>
    <w:p w14:paraId="66D5ADFB" w14:textId="77777777" w:rsidR="001B16D7" w:rsidRPr="001B16D7" w:rsidRDefault="001B16D7" w:rsidP="003A4B6C">
      <w:pPr>
        <w:ind w:left="1304"/>
      </w:pPr>
      <w:r w:rsidRPr="001B16D7">
        <w:t>4) en kombination af 1-3, hvis eksamen omfatter en skriftlig opgavebesvarelse med mundtligt forsvar.</w:t>
      </w:r>
    </w:p>
    <w:p w14:paraId="2E805545" w14:textId="77777777" w:rsidR="001B16D7" w:rsidRPr="001B16D7" w:rsidRDefault="001B16D7" w:rsidP="001B16D7">
      <w:r w:rsidRPr="001B16D7">
        <w:rPr>
          <w:i/>
          <w:iCs/>
        </w:rPr>
        <w:t>Stk. 3.</w:t>
      </w:r>
      <w:r w:rsidRPr="001B16D7">
        <w:t> Faglige spørgsmål ved ankenævnets afgørelse kan ikke indbringes for en anden administrativ myndighed.</w:t>
      </w:r>
    </w:p>
    <w:p w14:paraId="0C53FECD" w14:textId="77777777" w:rsidR="001B16D7" w:rsidRPr="001B16D7" w:rsidRDefault="001B16D7" w:rsidP="001B16D7">
      <w:r w:rsidRPr="001B16D7">
        <w:rPr>
          <w:i/>
          <w:iCs/>
        </w:rPr>
        <w:t>Stk. 4.</w:t>
      </w:r>
      <w:r w:rsidRPr="001B16D7">
        <w:t> Retlige spørgsmål ved ankenævnets afgørelse kan indbringes for institutionen, som træffer afgørelse. Klagen skal indgives til institutionen, senest 2 uger efter den studerende har modtaget afgørelsen fra institutionen.</w:t>
      </w:r>
    </w:p>
    <w:p w14:paraId="0D62C3EF" w14:textId="77777777" w:rsidR="001B16D7" w:rsidRPr="001B16D7" w:rsidRDefault="001B16D7" w:rsidP="001B16D7">
      <w:r w:rsidRPr="001B16D7">
        <w:rPr>
          <w:i/>
          <w:iCs/>
        </w:rPr>
        <w:t>Stk. 5.</w:t>
      </w:r>
      <w:r w:rsidRPr="001B16D7">
        <w:t> Institutionens afgørelse kan indbringes for Uddannelses- og Forskningsstyrelsen efter § 48.</w:t>
      </w:r>
    </w:p>
    <w:p w14:paraId="53358BDD" w14:textId="77777777" w:rsidR="00B17645" w:rsidRDefault="00B17645" w:rsidP="00F71DB7">
      <w:pPr>
        <w:rPr>
          <w:b/>
        </w:rPr>
      </w:pPr>
    </w:p>
    <w:p w14:paraId="5EA85F05" w14:textId="77777777" w:rsidR="00B17645" w:rsidRDefault="00B17645" w:rsidP="00F71DB7">
      <w:pPr>
        <w:rPr>
          <w:b/>
        </w:rPr>
      </w:pPr>
    </w:p>
    <w:p w14:paraId="786F44AE" w14:textId="77777777" w:rsidR="00B17645" w:rsidRDefault="00B17645" w:rsidP="00F71DB7">
      <w:pPr>
        <w:rPr>
          <w:b/>
        </w:rPr>
      </w:pPr>
    </w:p>
    <w:p w14:paraId="66BE1936" w14:textId="5FAAB0A2" w:rsidR="00F71DB7" w:rsidRPr="00F71DB7" w:rsidRDefault="00F71DB7" w:rsidP="00F71DB7">
      <w:pPr>
        <w:rPr>
          <w:b/>
        </w:rPr>
      </w:pPr>
      <w:r w:rsidRPr="00F71DB7">
        <w:rPr>
          <w:b/>
        </w:rPr>
        <w:t>Ombedømmelse og omprøve</w:t>
      </w:r>
    </w:p>
    <w:p w14:paraId="5F3CC7A4" w14:textId="77777777" w:rsidR="0095078F" w:rsidRPr="0095078F" w:rsidRDefault="0095078F" w:rsidP="0095078F">
      <w:r w:rsidRPr="0095078F">
        <w:rPr>
          <w:b/>
          <w:bCs/>
        </w:rPr>
        <w:t>§ 45</w:t>
      </w:r>
      <w:r w:rsidRPr="0095078F">
        <w:t>. Det skal fremgå af et tilbud om ombedømmelse eller omprøve, at den kan resultere i en lavere karakter.</w:t>
      </w:r>
    </w:p>
    <w:p w14:paraId="39C3BC9D" w14:textId="77777777" w:rsidR="0095078F" w:rsidRPr="0095078F" w:rsidRDefault="0095078F" w:rsidP="0095078F">
      <w:r w:rsidRPr="0095078F">
        <w:rPr>
          <w:b/>
          <w:bCs/>
        </w:rPr>
        <w:t>§ 46</w:t>
      </w:r>
      <w:r w:rsidRPr="0095078F">
        <w:t>. Klageren skal acceptere et tilbud om ombedømmelse eller omprøve senest 2 uger efter, at uddannelsesinstitutionens eller ankenævnets afgørelse er meddelt. Ombedømmelse eller omprøven skal finde sted hurtigst muligt. Institutionen skal inddrage eventuelt udstedt eksamensbevis.</w:t>
      </w:r>
    </w:p>
    <w:p w14:paraId="2527AB4D" w14:textId="77777777" w:rsidR="0095078F" w:rsidRPr="0095078F" w:rsidRDefault="0095078F" w:rsidP="003A4B6C">
      <w:r w:rsidRPr="0095078F">
        <w:rPr>
          <w:i/>
          <w:iCs/>
        </w:rPr>
        <w:t>Stk. 2.</w:t>
      </w:r>
      <w:r w:rsidRPr="0095078F">
        <w:t> Institutionen skal udpege nye bedømmere ved ombedømmelse og omprøve. Censorforpersonen udpeger dog en eventuel censor.</w:t>
      </w:r>
    </w:p>
    <w:p w14:paraId="7DE381C2" w14:textId="77777777" w:rsidR="0095078F" w:rsidRPr="0095078F" w:rsidRDefault="0095078F" w:rsidP="003A4B6C">
      <w:r w:rsidRPr="0095078F">
        <w:rPr>
          <w:i/>
          <w:iCs/>
        </w:rPr>
        <w:t>Stk. 3.</w:t>
      </w:r>
      <w:r w:rsidRPr="0095078F">
        <w:t> De nye bedømmerne skal bedømme den studerendes besvarelse på baggrund af opgaveteksten og besvarelsen.</w:t>
      </w:r>
    </w:p>
    <w:p w14:paraId="1BF5F90C" w14:textId="77777777" w:rsidR="0095078F" w:rsidRPr="0095078F" w:rsidRDefault="0095078F" w:rsidP="003A4B6C">
      <w:r w:rsidRPr="0095078F">
        <w:rPr>
          <w:i/>
          <w:iCs/>
        </w:rPr>
        <w:t>Stk. 4.</w:t>
      </w:r>
      <w:r w:rsidRPr="0095078F">
        <w:t> Den nye bedømmelse, jf. stk. 3, skal ledsages af en skriftlig begrundelse.</w:t>
      </w:r>
    </w:p>
    <w:p w14:paraId="466007B8" w14:textId="77777777" w:rsidR="0095078F" w:rsidRPr="0095078F" w:rsidRDefault="0095078F" w:rsidP="0095078F">
      <w:r w:rsidRPr="0095078F">
        <w:rPr>
          <w:b/>
          <w:bCs/>
        </w:rPr>
        <w:t>§ 47.</w:t>
      </w:r>
      <w:r w:rsidRPr="0095078F">
        <w:t> Faglige spørgsmål ved ombedømmelse eller omprøve kan ikke indbringes for uddannelsesinstitutionen igen eller en anden administrativ myndighed. Retlige spørgsmål kan indbringes for institutionen, der træffer afgørelse.</w:t>
      </w:r>
    </w:p>
    <w:p w14:paraId="6D14E6D2" w14:textId="77777777" w:rsidR="0095078F" w:rsidRPr="0095078F" w:rsidRDefault="0095078F" w:rsidP="0095078F">
      <w:r w:rsidRPr="0095078F">
        <w:rPr>
          <w:i/>
          <w:iCs/>
        </w:rPr>
        <w:t>Stk. 2.</w:t>
      </w:r>
      <w:r w:rsidRPr="0095078F">
        <w:t> Institutionens afgørelse efter stk. 1, 2. pkt. kan indbringes for Uddannelses- og Forskningsstyrelsen, jf. § 48.</w:t>
      </w:r>
    </w:p>
    <w:p w14:paraId="39DDAC9F" w14:textId="77777777" w:rsidR="00A9345C" w:rsidRDefault="00A9345C" w:rsidP="00F71DB7">
      <w:pPr>
        <w:rPr>
          <w:b/>
        </w:rPr>
      </w:pPr>
    </w:p>
    <w:p w14:paraId="1BE304C1" w14:textId="76D08DD2" w:rsidR="00F71DB7" w:rsidRPr="00A9345C" w:rsidRDefault="00F71DB7" w:rsidP="00F71DB7">
      <w:pPr>
        <w:rPr>
          <w:b/>
        </w:rPr>
      </w:pPr>
      <w:r w:rsidRPr="00A9345C">
        <w:rPr>
          <w:b/>
        </w:rPr>
        <w:t>Klage til Uddannelses- og Forskningsstyrelsen</w:t>
      </w:r>
    </w:p>
    <w:p w14:paraId="72D20D9A" w14:textId="77777777" w:rsidR="00667102" w:rsidRPr="00667102" w:rsidRDefault="00667102" w:rsidP="00667102">
      <w:r w:rsidRPr="00667102">
        <w:rPr>
          <w:b/>
          <w:bCs/>
        </w:rPr>
        <w:t>§ 48</w:t>
      </w:r>
      <w:r w:rsidRPr="00667102">
        <w:t>. Uddannelsesinstitutionens endelige afgørelser kan indbringes for Uddannelses- og Forskningsstyrelsen, når klagen vedrører retlige spørgsmål. Klagefristen er 2 uger fra den dag, afgørelsen er meddelt klageren.</w:t>
      </w:r>
    </w:p>
    <w:p w14:paraId="7F60B265" w14:textId="77777777" w:rsidR="00667102" w:rsidRPr="00667102" w:rsidRDefault="00667102" w:rsidP="00667102">
      <w:r w:rsidRPr="00667102">
        <w:rPr>
          <w:i/>
          <w:iCs/>
        </w:rPr>
        <w:t>Stk. 2.</w:t>
      </w:r>
      <w:r w:rsidRPr="00667102">
        <w:t> Klagen indgives til institutionen, der udarbejder en udtalelse, som klageren skal have lejlighed til at kommentere inden for en frist af mindst 1 uge. Institutionen sender herefter den samlede sag til behandling i styrelsen.</w:t>
      </w:r>
    </w:p>
    <w:p w14:paraId="0536DBC5" w14:textId="77777777" w:rsidR="006D0580" w:rsidRPr="006D0580" w:rsidRDefault="006D0580" w:rsidP="006D0580">
      <w:pPr>
        <w:rPr>
          <w:b/>
        </w:rPr>
      </w:pPr>
    </w:p>
    <w:p w14:paraId="2499BA55" w14:textId="2F7C80E0" w:rsidR="006D0580" w:rsidRPr="00541019" w:rsidRDefault="006D0580" w:rsidP="00541019">
      <w:pPr>
        <w:pStyle w:val="Listeafsnit"/>
        <w:numPr>
          <w:ilvl w:val="0"/>
          <w:numId w:val="8"/>
        </w:numPr>
        <w:rPr>
          <w:b/>
        </w:rPr>
      </w:pPr>
      <w:r w:rsidRPr="00541019">
        <w:rPr>
          <w:b/>
        </w:rPr>
        <w:t>Anke</w:t>
      </w:r>
    </w:p>
    <w:p w14:paraId="330B15D5" w14:textId="28C76838" w:rsidR="00B17645" w:rsidRPr="00B17645" w:rsidRDefault="00B17645" w:rsidP="00B17645">
      <w:pPr>
        <w:rPr>
          <w:b/>
          <w:bCs/>
        </w:rPr>
      </w:pPr>
      <w:r w:rsidRPr="00B17645">
        <w:rPr>
          <w:b/>
          <w:bCs/>
        </w:rPr>
        <w:t>Nedsættelse af ankenævn</w:t>
      </w:r>
    </w:p>
    <w:p w14:paraId="4DD37030" w14:textId="77777777" w:rsidR="00667102" w:rsidRPr="00667102" w:rsidRDefault="00667102" w:rsidP="00667102">
      <w:r w:rsidRPr="00667102">
        <w:rPr>
          <w:b/>
          <w:bCs/>
        </w:rPr>
        <w:t>§ 35.</w:t>
      </w:r>
      <w:r w:rsidRPr="00667102">
        <w:t> Uddannelsesinstitutionen nedsætter ankenævn permanent eller efter behov.</w:t>
      </w:r>
    </w:p>
    <w:p w14:paraId="4383BE6C" w14:textId="77777777" w:rsidR="00667102" w:rsidRPr="00667102" w:rsidRDefault="00667102" w:rsidP="00667102">
      <w:r w:rsidRPr="00667102">
        <w:rPr>
          <w:i/>
          <w:iCs/>
        </w:rPr>
        <w:t>Stk. 2.</w:t>
      </w:r>
      <w:r w:rsidRPr="00667102">
        <w:t> Nævnet består af to beskikkede censorer, en eksaminationsberettiget underviser og en studerende inden for fagområdet.</w:t>
      </w:r>
    </w:p>
    <w:p w14:paraId="302D1F09" w14:textId="77777777" w:rsidR="00667102" w:rsidRPr="00667102" w:rsidRDefault="00667102" w:rsidP="00667102">
      <w:r w:rsidRPr="00667102">
        <w:rPr>
          <w:i/>
          <w:iCs/>
        </w:rPr>
        <w:t>Stk. 3.</w:t>
      </w:r>
      <w:r w:rsidRPr="00667102">
        <w:t> Censorforpersonen udpeger de to censorer, hvoraf den ene skal virke som formand. Censorforpersonen kan udpege sig selv.</w:t>
      </w:r>
    </w:p>
    <w:p w14:paraId="4E0C6207" w14:textId="77777777" w:rsidR="00667102" w:rsidRPr="00667102" w:rsidRDefault="00667102" w:rsidP="00667102">
      <w:r w:rsidRPr="00667102">
        <w:rPr>
          <w:i/>
          <w:iCs/>
        </w:rPr>
        <w:lastRenderedPageBreak/>
        <w:t>Stk. 4.</w:t>
      </w:r>
      <w:r w:rsidRPr="00667102">
        <w:t> Institutionen udpeger underviseren og den studerende.</w:t>
      </w:r>
    </w:p>
    <w:p w14:paraId="4C198481" w14:textId="77777777" w:rsidR="00667102" w:rsidRPr="00667102" w:rsidRDefault="00667102" w:rsidP="00667102">
      <w:r w:rsidRPr="00667102">
        <w:rPr>
          <w:b/>
          <w:bCs/>
        </w:rPr>
        <w:t>§ 36.</w:t>
      </w:r>
      <w:r w:rsidRPr="00667102">
        <w:t> Ankenævnet er beslutningsdygtigt, hvis alle nævnets medlemmer deltager i nævnets drøftelse, og ankenævnets enkelte medlemmer før drøftelsen har haft lejlighed til at gøre sig bekendt med alle sagens akter. Er der enighed blandt nævnets medlemmer, kan nævnet beslutte, at drøftelsen foregår skriftligt.</w:t>
      </w:r>
    </w:p>
    <w:p w14:paraId="09FD1A2A" w14:textId="77777777" w:rsidR="00667102" w:rsidRPr="00667102" w:rsidRDefault="00667102" w:rsidP="00667102">
      <w:r w:rsidRPr="00667102">
        <w:rPr>
          <w:i/>
          <w:iCs/>
        </w:rPr>
        <w:t>Stk. 2.</w:t>
      </w:r>
      <w:r w:rsidRPr="00667102">
        <w:t> Hvis ankenævnet ikke kan nå til enighed ved behandlingen af en sag, skal nævnet afholde et afsluttende møde, hvor alle nævnets medlemmer skal være til stede. Formandens stemme afgør en afstemning, der er endt med stemmelighed.</w:t>
      </w:r>
    </w:p>
    <w:p w14:paraId="727A030D" w14:textId="77777777" w:rsidR="00B17645" w:rsidRPr="006D0580" w:rsidRDefault="00B17645" w:rsidP="006D0580"/>
    <w:p w14:paraId="3F885DE9" w14:textId="513E108B" w:rsidR="006D0580" w:rsidRPr="006D0580" w:rsidRDefault="006D0580" w:rsidP="00F73804">
      <w:pPr>
        <w:pStyle w:val="Listeafsnit"/>
        <w:numPr>
          <w:ilvl w:val="0"/>
          <w:numId w:val="8"/>
        </w:numPr>
      </w:pPr>
      <w:r w:rsidRPr="00F73804">
        <w:rPr>
          <w:b/>
        </w:rPr>
        <w:t>Andre forhold</w:t>
      </w:r>
    </w:p>
    <w:p w14:paraId="6D879161" w14:textId="61F0C216" w:rsidR="006D0580" w:rsidRPr="006D0580" w:rsidRDefault="006D0580" w:rsidP="006D0580">
      <w:r w:rsidRPr="006D0580">
        <w:br/>
        <w:t>Ankenævnets afgørelse, der skal være begrundet,</w:t>
      </w:r>
      <w:r w:rsidR="004A48D6">
        <w:t xml:space="preserve"> og</w:t>
      </w:r>
      <w:r w:rsidRPr="006D0580">
        <w:t xml:space="preserve"> me</w:t>
      </w:r>
      <w:r w:rsidR="004A48D6">
        <w:t>ddeles til</w:t>
      </w:r>
      <w:r w:rsidRPr="006D0580">
        <w:t xml:space="preserve"> </w:t>
      </w:r>
      <w:r w:rsidRPr="006D0580">
        <w:rPr>
          <w:i/>
        </w:rPr>
        <w:t>institutionen</w:t>
      </w:r>
      <w:r w:rsidR="004A48D6">
        <w:rPr>
          <w:i/>
        </w:rPr>
        <w:t xml:space="preserve"> og klager, </w:t>
      </w:r>
      <w:r w:rsidR="004A48D6">
        <w:rPr>
          <w:iCs/>
        </w:rPr>
        <w:t>senest 2 måneder efter at klagen er indgivet. Juli måned indgår ikke i beregningen.</w:t>
      </w:r>
      <w:r w:rsidRPr="006D0580">
        <w:t xml:space="preserve"> </w:t>
      </w:r>
    </w:p>
    <w:p w14:paraId="4A88B1B2" w14:textId="77777777" w:rsidR="006D0580" w:rsidRPr="006D0580" w:rsidRDefault="006D0580" w:rsidP="006D0580">
      <w:r w:rsidRPr="006D0580">
        <w:rPr>
          <w:b/>
        </w:rPr>
        <w:t>Bemærk om klagevejledning og begrundelse</w:t>
      </w:r>
    </w:p>
    <w:p w14:paraId="7915E94E" w14:textId="6F9EED75" w:rsidR="006D0580" w:rsidRPr="006D0580" w:rsidRDefault="006D0580" w:rsidP="006D0580">
      <w:r w:rsidRPr="006D0580">
        <w:t>Afgørelser, der ikke fuldt ud giver den studerende medhold, skal begrundes og ledsages af en klagevejledning. Se nedenfor om skabelon til klagevejledning.</w:t>
      </w:r>
    </w:p>
    <w:p w14:paraId="3167386B" w14:textId="77777777" w:rsidR="006D0580" w:rsidRPr="006D0580" w:rsidRDefault="006D0580" w:rsidP="006D0580">
      <w:r w:rsidRPr="006D0580">
        <w:t xml:space="preserve">Klagevejledningen skal angive klageinstans og oplyse om fremgangsmåden ved indgivelse af klage, herunder eventuel tidsfrist, ligesom der skal være en henvisning til de retsregler, som afgørelsen er baseret på, jf. forvaltningsloven, lov nr. 433 af 22. marts 2014, §§ 22 og 24. </w:t>
      </w:r>
    </w:p>
    <w:p w14:paraId="02FA1C49" w14:textId="77777777" w:rsidR="006D0580" w:rsidRPr="006D0580" w:rsidRDefault="006D0580" w:rsidP="006D0580">
      <w:r w:rsidRPr="006D0580">
        <w:t>Begrundelsen skal indeholde en henvisning til de retsregler, efter hvilke afgørelsen er truffet.</w:t>
      </w:r>
    </w:p>
    <w:p w14:paraId="5809C429" w14:textId="77777777" w:rsidR="006D0580" w:rsidRPr="006D0580" w:rsidRDefault="006D0580" w:rsidP="006D0580">
      <w:r w:rsidRPr="006D0580">
        <w:t xml:space="preserve">Når afgørelsen beror på et </w:t>
      </w:r>
      <w:r w:rsidRPr="006D0580">
        <w:rPr>
          <w:i/>
        </w:rPr>
        <w:t>fagligt, administrativt skøn</w:t>
      </w:r>
      <w:r w:rsidRPr="006D0580">
        <w:t xml:space="preserve"> skal begrundelsen tillige angive de </w:t>
      </w:r>
      <w:r w:rsidRPr="006D0580">
        <w:rPr>
          <w:i/>
        </w:rPr>
        <w:t>hovedhensyn</w:t>
      </w:r>
      <w:r w:rsidRPr="006D0580">
        <w:t>, der har været bestemmende for skønsudøvelsen.  Et sådant skøn indeholder (mange) elementer og en afvejning af både styrker og svagheder, og det udtrykker en samlet vurdering af opfyldelsen af de formelle krav. Af afslaget skal det fremgå, hvilke elementer der var hovedårsagen til afslaget.</w:t>
      </w:r>
    </w:p>
    <w:p w14:paraId="5633102C" w14:textId="5EE697DE" w:rsidR="006D0580" w:rsidRPr="006D0580" w:rsidRDefault="006D0580" w:rsidP="006D0580">
      <w:r w:rsidRPr="006D0580">
        <w:t>Begrundelsen skal endvidere indeholde en kort redegørelse for de oplysninger vedrørende sagens faktiske omstændigheder, som er tillagt væsentlig betydning for afgørelsen. Ankenævnet skal referere til det materiale, som lå til grund for institutionens afgørelse</w:t>
      </w:r>
      <w:r w:rsidR="00B17645">
        <w:t>.</w:t>
      </w:r>
    </w:p>
    <w:p w14:paraId="00004A5F" w14:textId="77777777" w:rsidR="006D0580" w:rsidRPr="006D0580" w:rsidRDefault="006D0580" w:rsidP="006D0580"/>
    <w:sectPr w:rsidR="006D0580" w:rsidRPr="006D0580">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63C8" w14:textId="77777777" w:rsidR="00A8284A" w:rsidRDefault="00A8284A" w:rsidP="008022B2">
      <w:pPr>
        <w:spacing w:after="0" w:line="240" w:lineRule="auto"/>
      </w:pPr>
      <w:r>
        <w:separator/>
      </w:r>
    </w:p>
  </w:endnote>
  <w:endnote w:type="continuationSeparator" w:id="0">
    <w:p w14:paraId="3DDD4450" w14:textId="77777777" w:rsidR="00A8284A" w:rsidRDefault="00A8284A" w:rsidP="0080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57FDE" w14:textId="77777777" w:rsidR="00A8284A" w:rsidRDefault="00A8284A" w:rsidP="008022B2">
      <w:pPr>
        <w:spacing w:after="0" w:line="240" w:lineRule="auto"/>
      </w:pPr>
      <w:r>
        <w:separator/>
      </w:r>
    </w:p>
  </w:footnote>
  <w:footnote w:type="continuationSeparator" w:id="0">
    <w:p w14:paraId="67C6DA4D" w14:textId="77777777" w:rsidR="00A8284A" w:rsidRDefault="00A8284A" w:rsidP="00802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6F08" w14:textId="511ECD14" w:rsidR="008022B2" w:rsidRDefault="008022B2">
    <w:pPr>
      <w:pStyle w:val="Sidehoved"/>
    </w:pPr>
    <w:r w:rsidRPr="006D0580">
      <w:rPr>
        <w:b/>
        <w:bCs/>
        <w:noProof/>
      </w:rPr>
      <w:drawing>
        <wp:anchor distT="0" distB="0" distL="114300" distR="114300" simplePos="0" relativeHeight="251659264" behindDoc="1" locked="0" layoutInCell="0" allowOverlap="1" wp14:anchorId="25AE68A9" wp14:editId="23B8315E">
          <wp:simplePos x="0" y="0"/>
          <wp:positionH relativeFrom="column">
            <wp:posOffset>4643252</wp:posOffset>
          </wp:positionH>
          <wp:positionV relativeFrom="paragraph">
            <wp:posOffset>-60086</wp:posOffset>
          </wp:positionV>
          <wp:extent cx="1924050" cy="314325"/>
          <wp:effectExtent l="0" t="0" r="0" b="9525"/>
          <wp:wrapTight wrapText="bothSides">
            <wp:wrapPolygon edited="0">
              <wp:start x="0" y="0"/>
              <wp:lineTo x="0" y="20945"/>
              <wp:lineTo x="21386" y="20945"/>
              <wp:lineTo x="21386" y="0"/>
              <wp:lineTo x="0" y="0"/>
            </wp:wrapPolygon>
          </wp:wrapTight>
          <wp:docPr id="2" name="Billede 1" descr="Et billede, der indeholder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cstate="print">
                    <a:extLst>
                      <a:ext uri="{28A0092B-C50C-407E-A947-70E740481C1C}">
                        <a14:useLocalDpi xmlns:a14="http://schemas.microsoft.com/office/drawing/2010/main" val="0"/>
                      </a:ext>
                    </a:extLst>
                  </a:blip>
                  <a:srcRect l="900" t="14973" r="67738" b="76814"/>
                  <a:stretch>
                    <a:fillRect/>
                  </a:stretch>
                </pic:blipFill>
                <pic:spPr bwMode="auto">
                  <a:xfrm>
                    <a:off x="0" y="0"/>
                    <a:ext cx="1924050" cy="314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2BDD"/>
    <w:multiLevelType w:val="hybridMultilevel"/>
    <w:tmpl w:val="F564B434"/>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71C5AA0"/>
    <w:multiLevelType w:val="hybridMultilevel"/>
    <w:tmpl w:val="FA5E92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E190745"/>
    <w:multiLevelType w:val="hybridMultilevel"/>
    <w:tmpl w:val="38C2BEFA"/>
    <w:lvl w:ilvl="0" w:tplc="9C1EAF80">
      <w:start w:val="2"/>
      <w:numFmt w:val="decimal"/>
      <w:lvlText w:val="%1."/>
      <w:lvlJc w:val="left"/>
      <w:pPr>
        <w:tabs>
          <w:tab w:val="num" w:pos="720"/>
        </w:tabs>
        <w:ind w:left="720" w:hanging="480"/>
      </w:pPr>
    </w:lvl>
    <w:lvl w:ilvl="1" w:tplc="5B4AA46E">
      <w:start w:val="1"/>
      <w:numFmt w:val="lowerLetter"/>
      <w:lvlText w:val="%2."/>
      <w:lvlJc w:val="left"/>
      <w:pPr>
        <w:tabs>
          <w:tab w:val="num" w:pos="1320"/>
        </w:tabs>
        <w:ind w:left="1320" w:hanging="360"/>
      </w:pPr>
    </w:lvl>
    <w:lvl w:ilvl="2" w:tplc="821E4D88">
      <w:start w:val="1"/>
      <w:numFmt w:val="lowerRoman"/>
      <w:lvlText w:val="%3."/>
      <w:lvlJc w:val="right"/>
      <w:pPr>
        <w:tabs>
          <w:tab w:val="num" w:pos="2040"/>
        </w:tabs>
        <w:ind w:left="2040" w:hanging="180"/>
      </w:pPr>
    </w:lvl>
    <w:lvl w:ilvl="3" w:tplc="DE0284F8">
      <w:start w:val="1"/>
      <w:numFmt w:val="decimal"/>
      <w:lvlText w:val="%4."/>
      <w:lvlJc w:val="left"/>
      <w:pPr>
        <w:tabs>
          <w:tab w:val="num" w:pos="2760"/>
        </w:tabs>
        <w:ind w:left="2760" w:hanging="360"/>
      </w:pPr>
    </w:lvl>
    <w:lvl w:ilvl="4" w:tplc="87540D46">
      <w:start w:val="1"/>
      <w:numFmt w:val="lowerLetter"/>
      <w:lvlText w:val="%5."/>
      <w:lvlJc w:val="left"/>
      <w:pPr>
        <w:tabs>
          <w:tab w:val="num" w:pos="3480"/>
        </w:tabs>
        <w:ind w:left="3480" w:hanging="360"/>
      </w:pPr>
    </w:lvl>
    <w:lvl w:ilvl="5" w:tplc="80F837D2">
      <w:start w:val="1"/>
      <w:numFmt w:val="lowerRoman"/>
      <w:lvlText w:val="%6."/>
      <w:lvlJc w:val="right"/>
      <w:pPr>
        <w:tabs>
          <w:tab w:val="num" w:pos="4200"/>
        </w:tabs>
        <w:ind w:left="4200" w:hanging="180"/>
      </w:pPr>
    </w:lvl>
    <w:lvl w:ilvl="6" w:tplc="DE285092">
      <w:start w:val="1"/>
      <w:numFmt w:val="decimal"/>
      <w:lvlText w:val="%7."/>
      <w:lvlJc w:val="left"/>
      <w:pPr>
        <w:tabs>
          <w:tab w:val="num" w:pos="4920"/>
        </w:tabs>
        <w:ind w:left="4920" w:hanging="360"/>
      </w:pPr>
    </w:lvl>
    <w:lvl w:ilvl="7" w:tplc="5434B2F8">
      <w:start w:val="1"/>
      <w:numFmt w:val="lowerLetter"/>
      <w:lvlText w:val="%8."/>
      <w:lvlJc w:val="left"/>
      <w:pPr>
        <w:tabs>
          <w:tab w:val="num" w:pos="5640"/>
        </w:tabs>
        <w:ind w:left="5640" w:hanging="360"/>
      </w:pPr>
    </w:lvl>
    <w:lvl w:ilvl="8" w:tplc="80269616">
      <w:start w:val="1"/>
      <w:numFmt w:val="lowerRoman"/>
      <w:lvlText w:val="%9."/>
      <w:lvlJc w:val="right"/>
      <w:pPr>
        <w:tabs>
          <w:tab w:val="num" w:pos="6360"/>
        </w:tabs>
        <w:ind w:left="6360" w:hanging="180"/>
      </w:pPr>
    </w:lvl>
  </w:abstractNum>
  <w:abstractNum w:abstractNumId="3" w15:restartNumberingAfterBreak="0">
    <w:nsid w:val="424210E5"/>
    <w:multiLevelType w:val="hybridMultilevel"/>
    <w:tmpl w:val="16F88710"/>
    <w:lvl w:ilvl="0" w:tplc="4A588F82">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28E0C80"/>
    <w:multiLevelType w:val="hybridMultilevel"/>
    <w:tmpl w:val="8C82DB00"/>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6680EB3"/>
    <w:multiLevelType w:val="hybridMultilevel"/>
    <w:tmpl w:val="31062848"/>
    <w:lvl w:ilvl="0" w:tplc="DB8291F0">
      <w:start w:val="2"/>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4F85B0A"/>
    <w:multiLevelType w:val="hybridMultilevel"/>
    <w:tmpl w:val="D5083D8A"/>
    <w:lvl w:ilvl="0" w:tplc="A680F824">
      <w:start w:val="1"/>
      <w:numFmt w:val="decimal"/>
      <w:lvlText w:val="%1."/>
      <w:lvlJc w:val="left"/>
      <w:pPr>
        <w:tabs>
          <w:tab w:val="num" w:pos="1440"/>
        </w:tabs>
        <w:ind w:left="1440" w:hanging="360"/>
      </w:pPr>
    </w:lvl>
    <w:lvl w:ilvl="1" w:tplc="4872A6F8">
      <w:start w:val="1"/>
      <w:numFmt w:val="lowerLetter"/>
      <w:lvlText w:val="%2."/>
      <w:lvlJc w:val="left"/>
      <w:pPr>
        <w:tabs>
          <w:tab w:val="num" w:pos="2160"/>
        </w:tabs>
        <w:ind w:left="2160" w:hanging="360"/>
      </w:pPr>
    </w:lvl>
    <w:lvl w:ilvl="2" w:tplc="E500B1E2">
      <w:start w:val="1"/>
      <w:numFmt w:val="lowerRoman"/>
      <w:lvlText w:val="%3."/>
      <w:lvlJc w:val="right"/>
      <w:pPr>
        <w:tabs>
          <w:tab w:val="num" w:pos="2880"/>
        </w:tabs>
        <w:ind w:left="2880" w:hanging="180"/>
      </w:pPr>
    </w:lvl>
    <w:lvl w:ilvl="3" w:tplc="96C8F426">
      <w:start w:val="1"/>
      <w:numFmt w:val="decimal"/>
      <w:lvlText w:val="%4."/>
      <w:lvlJc w:val="left"/>
      <w:pPr>
        <w:tabs>
          <w:tab w:val="num" w:pos="3600"/>
        </w:tabs>
        <w:ind w:left="3600" w:hanging="360"/>
      </w:pPr>
    </w:lvl>
    <w:lvl w:ilvl="4" w:tplc="F5D6DF2C">
      <w:start w:val="1"/>
      <w:numFmt w:val="lowerLetter"/>
      <w:lvlText w:val="%5."/>
      <w:lvlJc w:val="left"/>
      <w:pPr>
        <w:tabs>
          <w:tab w:val="num" w:pos="4320"/>
        </w:tabs>
        <w:ind w:left="4320" w:hanging="360"/>
      </w:pPr>
    </w:lvl>
    <w:lvl w:ilvl="5" w:tplc="41281D98">
      <w:start w:val="1"/>
      <w:numFmt w:val="lowerRoman"/>
      <w:lvlText w:val="%6."/>
      <w:lvlJc w:val="right"/>
      <w:pPr>
        <w:tabs>
          <w:tab w:val="num" w:pos="5040"/>
        </w:tabs>
        <w:ind w:left="5040" w:hanging="180"/>
      </w:pPr>
    </w:lvl>
    <w:lvl w:ilvl="6" w:tplc="ACCA6280">
      <w:start w:val="1"/>
      <w:numFmt w:val="decimal"/>
      <w:lvlText w:val="%7."/>
      <w:lvlJc w:val="left"/>
      <w:pPr>
        <w:tabs>
          <w:tab w:val="num" w:pos="5760"/>
        </w:tabs>
        <w:ind w:left="5760" w:hanging="360"/>
      </w:pPr>
    </w:lvl>
    <w:lvl w:ilvl="7" w:tplc="273A2682">
      <w:start w:val="1"/>
      <w:numFmt w:val="lowerLetter"/>
      <w:lvlText w:val="%8."/>
      <w:lvlJc w:val="left"/>
      <w:pPr>
        <w:tabs>
          <w:tab w:val="num" w:pos="6480"/>
        </w:tabs>
        <w:ind w:left="6480" w:hanging="360"/>
      </w:pPr>
    </w:lvl>
    <w:lvl w:ilvl="8" w:tplc="C0E48A30">
      <w:start w:val="1"/>
      <w:numFmt w:val="lowerRoman"/>
      <w:lvlText w:val="%9."/>
      <w:lvlJc w:val="right"/>
      <w:pPr>
        <w:tabs>
          <w:tab w:val="num" w:pos="7200"/>
        </w:tabs>
        <w:ind w:left="7200" w:hanging="180"/>
      </w:pPr>
    </w:lvl>
  </w:abstractNum>
  <w:abstractNum w:abstractNumId="7" w15:restartNumberingAfterBreak="0">
    <w:nsid w:val="6D2034CF"/>
    <w:multiLevelType w:val="hybridMultilevel"/>
    <w:tmpl w:val="01324C5C"/>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0A40347"/>
    <w:multiLevelType w:val="hybridMultilevel"/>
    <w:tmpl w:val="DDDA8616"/>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75396DA4"/>
    <w:multiLevelType w:val="hybridMultilevel"/>
    <w:tmpl w:val="186A0988"/>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406611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761948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4783002">
    <w:abstractNumId w:val="0"/>
  </w:num>
  <w:num w:numId="4" w16cid:durableId="1831484997">
    <w:abstractNumId w:val="7"/>
  </w:num>
  <w:num w:numId="5" w16cid:durableId="1353342387">
    <w:abstractNumId w:val="4"/>
  </w:num>
  <w:num w:numId="6" w16cid:durableId="884635710">
    <w:abstractNumId w:val="9"/>
  </w:num>
  <w:num w:numId="7" w16cid:durableId="30031372">
    <w:abstractNumId w:val="8"/>
  </w:num>
  <w:num w:numId="8" w16cid:durableId="384181035">
    <w:abstractNumId w:val="5"/>
  </w:num>
  <w:num w:numId="9" w16cid:durableId="1969553446">
    <w:abstractNumId w:val="1"/>
  </w:num>
  <w:num w:numId="10" w16cid:durableId="1807896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80"/>
    <w:rsid w:val="00082797"/>
    <w:rsid w:val="000A4890"/>
    <w:rsid w:val="001B16D7"/>
    <w:rsid w:val="001B5C7C"/>
    <w:rsid w:val="00236016"/>
    <w:rsid w:val="002C10A0"/>
    <w:rsid w:val="00341AE4"/>
    <w:rsid w:val="00347E9C"/>
    <w:rsid w:val="00391AE5"/>
    <w:rsid w:val="003A4B6C"/>
    <w:rsid w:val="003D02E1"/>
    <w:rsid w:val="0042183D"/>
    <w:rsid w:val="004A48D6"/>
    <w:rsid w:val="004D7411"/>
    <w:rsid w:val="00503618"/>
    <w:rsid w:val="005036FA"/>
    <w:rsid w:val="00525FE6"/>
    <w:rsid w:val="00534EF1"/>
    <w:rsid w:val="00541019"/>
    <w:rsid w:val="00552664"/>
    <w:rsid w:val="00584F43"/>
    <w:rsid w:val="005C3B95"/>
    <w:rsid w:val="00625FD4"/>
    <w:rsid w:val="00667102"/>
    <w:rsid w:val="006D0580"/>
    <w:rsid w:val="007B0545"/>
    <w:rsid w:val="008022B2"/>
    <w:rsid w:val="00806BB3"/>
    <w:rsid w:val="00902862"/>
    <w:rsid w:val="0095078F"/>
    <w:rsid w:val="00976EB7"/>
    <w:rsid w:val="009D2AEE"/>
    <w:rsid w:val="009F740F"/>
    <w:rsid w:val="00A35748"/>
    <w:rsid w:val="00A8284A"/>
    <w:rsid w:val="00A9345C"/>
    <w:rsid w:val="00AE3F03"/>
    <w:rsid w:val="00B10630"/>
    <w:rsid w:val="00B17645"/>
    <w:rsid w:val="00B43678"/>
    <w:rsid w:val="00B831E3"/>
    <w:rsid w:val="00BD2BA0"/>
    <w:rsid w:val="00C15FA2"/>
    <w:rsid w:val="00C426C6"/>
    <w:rsid w:val="00C709A1"/>
    <w:rsid w:val="00C84002"/>
    <w:rsid w:val="00CC461D"/>
    <w:rsid w:val="00E4188D"/>
    <w:rsid w:val="00F2161F"/>
    <w:rsid w:val="00F33103"/>
    <w:rsid w:val="00F56778"/>
    <w:rsid w:val="00F652B9"/>
    <w:rsid w:val="00F71DB7"/>
    <w:rsid w:val="00F738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9BFD"/>
  <w15:chartTrackingRefBased/>
  <w15:docId w15:val="{DCD4E707-E373-46A3-931F-4CB92BEA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40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022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022B2"/>
  </w:style>
  <w:style w:type="paragraph" w:styleId="Sidefod">
    <w:name w:val="footer"/>
    <w:basedOn w:val="Normal"/>
    <w:link w:val="SidefodTegn"/>
    <w:uiPriority w:val="99"/>
    <w:unhideWhenUsed/>
    <w:rsid w:val="008022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022B2"/>
  </w:style>
  <w:style w:type="paragraph" w:styleId="Listeafsnit">
    <w:name w:val="List Paragraph"/>
    <w:basedOn w:val="Normal"/>
    <w:uiPriority w:val="34"/>
    <w:qFormat/>
    <w:rsid w:val="00C15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5951">
      <w:bodyDiv w:val="1"/>
      <w:marLeft w:val="0"/>
      <w:marRight w:val="0"/>
      <w:marTop w:val="0"/>
      <w:marBottom w:val="0"/>
      <w:divBdr>
        <w:top w:val="none" w:sz="0" w:space="0" w:color="auto"/>
        <w:left w:val="none" w:sz="0" w:space="0" w:color="auto"/>
        <w:bottom w:val="none" w:sz="0" w:space="0" w:color="auto"/>
        <w:right w:val="none" w:sz="0" w:space="0" w:color="auto"/>
      </w:divBdr>
    </w:div>
    <w:div w:id="237247554">
      <w:bodyDiv w:val="1"/>
      <w:marLeft w:val="0"/>
      <w:marRight w:val="0"/>
      <w:marTop w:val="0"/>
      <w:marBottom w:val="0"/>
      <w:divBdr>
        <w:top w:val="none" w:sz="0" w:space="0" w:color="auto"/>
        <w:left w:val="none" w:sz="0" w:space="0" w:color="auto"/>
        <w:bottom w:val="none" w:sz="0" w:space="0" w:color="auto"/>
        <w:right w:val="none" w:sz="0" w:space="0" w:color="auto"/>
      </w:divBdr>
    </w:div>
    <w:div w:id="286543484">
      <w:bodyDiv w:val="1"/>
      <w:marLeft w:val="0"/>
      <w:marRight w:val="0"/>
      <w:marTop w:val="0"/>
      <w:marBottom w:val="0"/>
      <w:divBdr>
        <w:top w:val="none" w:sz="0" w:space="0" w:color="auto"/>
        <w:left w:val="none" w:sz="0" w:space="0" w:color="auto"/>
        <w:bottom w:val="none" w:sz="0" w:space="0" w:color="auto"/>
        <w:right w:val="none" w:sz="0" w:space="0" w:color="auto"/>
      </w:divBdr>
    </w:div>
    <w:div w:id="499590425">
      <w:bodyDiv w:val="1"/>
      <w:marLeft w:val="0"/>
      <w:marRight w:val="0"/>
      <w:marTop w:val="0"/>
      <w:marBottom w:val="0"/>
      <w:divBdr>
        <w:top w:val="none" w:sz="0" w:space="0" w:color="auto"/>
        <w:left w:val="none" w:sz="0" w:space="0" w:color="auto"/>
        <w:bottom w:val="none" w:sz="0" w:space="0" w:color="auto"/>
        <w:right w:val="none" w:sz="0" w:space="0" w:color="auto"/>
      </w:divBdr>
    </w:div>
    <w:div w:id="548877499">
      <w:bodyDiv w:val="1"/>
      <w:marLeft w:val="0"/>
      <w:marRight w:val="0"/>
      <w:marTop w:val="0"/>
      <w:marBottom w:val="0"/>
      <w:divBdr>
        <w:top w:val="none" w:sz="0" w:space="0" w:color="auto"/>
        <w:left w:val="none" w:sz="0" w:space="0" w:color="auto"/>
        <w:bottom w:val="none" w:sz="0" w:space="0" w:color="auto"/>
        <w:right w:val="none" w:sz="0" w:space="0" w:color="auto"/>
      </w:divBdr>
    </w:div>
    <w:div w:id="608852858">
      <w:bodyDiv w:val="1"/>
      <w:marLeft w:val="0"/>
      <w:marRight w:val="0"/>
      <w:marTop w:val="0"/>
      <w:marBottom w:val="0"/>
      <w:divBdr>
        <w:top w:val="none" w:sz="0" w:space="0" w:color="auto"/>
        <w:left w:val="none" w:sz="0" w:space="0" w:color="auto"/>
        <w:bottom w:val="none" w:sz="0" w:space="0" w:color="auto"/>
        <w:right w:val="none" w:sz="0" w:space="0" w:color="auto"/>
      </w:divBdr>
    </w:div>
    <w:div w:id="660503850">
      <w:bodyDiv w:val="1"/>
      <w:marLeft w:val="0"/>
      <w:marRight w:val="0"/>
      <w:marTop w:val="0"/>
      <w:marBottom w:val="0"/>
      <w:divBdr>
        <w:top w:val="none" w:sz="0" w:space="0" w:color="auto"/>
        <w:left w:val="none" w:sz="0" w:space="0" w:color="auto"/>
        <w:bottom w:val="none" w:sz="0" w:space="0" w:color="auto"/>
        <w:right w:val="none" w:sz="0" w:space="0" w:color="auto"/>
      </w:divBdr>
    </w:div>
    <w:div w:id="1482112070">
      <w:bodyDiv w:val="1"/>
      <w:marLeft w:val="0"/>
      <w:marRight w:val="0"/>
      <w:marTop w:val="0"/>
      <w:marBottom w:val="0"/>
      <w:divBdr>
        <w:top w:val="none" w:sz="0" w:space="0" w:color="auto"/>
        <w:left w:val="none" w:sz="0" w:space="0" w:color="auto"/>
        <w:bottom w:val="none" w:sz="0" w:space="0" w:color="auto"/>
        <w:right w:val="none" w:sz="0" w:space="0" w:color="auto"/>
      </w:divBdr>
    </w:div>
    <w:div w:id="1636371652">
      <w:bodyDiv w:val="1"/>
      <w:marLeft w:val="0"/>
      <w:marRight w:val="0"/>
      <w:marTop w:val="0"/>
      <w:marBottom w:val="0"/>
      <w:divBdr>
        <w:top w:val="none" w:sz="0" w:space="0" w:color="auto"/>
        <w:left w:val="none" w:sz="0" w:space="0" w:color="auto"/>
        <w:bottom w:val="none" w:sz="0" w:space="0" w:color="auto"/>
        <w:right w:val="none" w:sz="0" w:space="0" w:color="auto"/>
      </w:divBdr>
    </w:div>
    <w:div w:id="1802725155">
      <w:bodyDiv w:val="1"/>
      <w:marLeft w:val="0"/>
      <w:marRight w:val="0"/>
      <w:marTop w:val="0"/>
      <w:marBottom w:val="0"/>
      <w:divBdr>
        <w:top w:val="none" w:sz="0" w:space="0" w:color="auto"/>
        <w:left w:val="none" w:sz="0" w:space="0" w:color="auto"/>
        <w:bottom w:val="none" w:sz="0" w:space="0" w:color="auto"/>
        <w:right w:val="none" w:sz="0" w:space="0" w:color="auto"/>
      </w:divBdr>
    </w:div>
    <w:div w:id="1835991280">
      <w:bodyDiv w:val="1"/>
      <w:marLeft w:val="0"/>
      <w:marRight w:val="0"/>
      <w:marTop w:val="0"/>
      <w:marBottom w:val="0"/>
      <w:divBdr>
        <w:top w:val="none" w:sz="0" w:space="0" w:color="auto"/>
        <w:left w:val="none" w:sz="0" w:space="0" w:color="auto"/>
        <w:bottom w:val="none" w:sz="0" w:space="0" w:color="auto"/>
        <w:right w:val="none" w:sz="0" w:space="0" w:color="auto"/>
      </w:divBdr>
    </w:div>
    <w:div w:id="1849517083">
      <w:bodyDiv w:val="1"/>
      <w:marLeft w:val="0"/>
      <w:marRight w:val="0"/>
      <w:marTop w:val="0"/>
      <w:marBottom w:val="0"/>
      <w:divBdr>
        <w:top w:val="none" w:sz="0" w:space="0" w:color="auto"/>
        <w:left w:val="none" w:sz="0" w:space="0" w:color="auto"/>
        <w:bottom w:val="none" w:sz="0" w:space="0" w:color="auto"/>
        <w:right w:val="none" w:sz="0" w:space="0" w:color="auto"/>
      </w:divBdr>
    </w:div>
    <w:div w:id="1989167462">
      <w:bodyDiv w:val="1"/>
      <w:marLeft w:val="0"/>
      <w:marRight w:val="0"/>
      <w:marTop w:val="0"/>
      <w:marBottom w:val="0"/>
      <w:divBdr>
        <w:top w:val="none" w:sz="0" w:space="0" w:color="auto"/>
        <w:left w:val="none" w:sz="0" w:space="0" w:color="auto"/>
        <w:bottom w:val="none" w:sz="0" w:space="0" w:color="auto"/>
        <w:right w:val="none" w:sz="0" w:space="0" w:color="auto"/>
      </w:divBdr>
    </w:div>
    <w:div w:id="1990554229">
      <w:bodyDiv w:val="1"/>
      <w:marLeft w:val="0"/>
      <w:marRight w:val="0"/>
      <w:marTop w:val="0"/>
      <w:marBottom w:val="0"/>
      <w:divBdr>
        <w:top w:val="none" w:sz="0" w:space="0" w:color="auto"/>
        <w:left w:val="none" w:sz="0" w:space="0" w:color="auto"/>
        <w:bottom w:val="none" w:sz="0" w:space="0" w:color="auto"/>
        <w:right w:val="none" w:sz="0" w:space="0" w:color="auto"/>
      </w:divBdr>
    </w:div>
    <w:div w:id="2001807633">
      <w:bodyDiv w:val="1"/>
      <w:marLeft w:val="0"/>
      <w:marRight w:val="0"/>
      <w:marTop w:val="0"/>
      <w:marBottom w:val="0"/>
      <w:divBdr>
        <w:top w:val="none" w:sz="0" w:space="0" w:color="auto"/>
        <w:left w:val="none" w:sz="0" w:space="0" w:color="auto"/>
        <w:bottom w:val="none" w:sz="0" w:space="0" w:color="auto"/>
        <w:right w:val="none" w:sz="0" w:space="0" w:color="auto"/>
      </w:divBdr>
    </w:div>
    <w:div w:id="20924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CN tema">
  <a:themeElements>
    <a:clrScheme name="UCN farver">
      <a:dk1>
        <a:sysClr val="windowText" lastClr="000000"/>
      </a:dk1>
      <a:lt1>
        <a:sysClr val="window" lastClr="FFFFFF"/>
      </a:lt1>
      <a:dk2>
        <a:srgbClr val="004250"/>
      </a:dk2>
      <a:lt2>
        <a:srgbClr val="E7E6E6"/>
      </a:lt2>
      <a:accent1>
        <a:srgbClr val="004250"/>
      </a:accent1>
      <a:accent2>
        <a:srgbClr val="40717C"/>
      </a:accent2>
      <a:accent3>
        <a:srgbClr val="BED6DB"/>
      </a:accent3>
      <a:accent4>
        <a:srgbClr val="0046AD"/>
      </a:accent4>
      <a:accent5>
        <a:srgbClr val="F7403A"/>
      </a:accent5>
      <a:accent6>
        <a:srgbClr val="FFCB4F"/>
      </a:accent6>
      <a:hlink>
        <a:srgbClr val="0046AD"/>
      </a:hlink>
      <a:folHlink>
        <a:srgbClr val="954F72"/>
      </a:folHlink>
    </a:clrScheme>
    <a:fontScheme name="UCN Skrifttyp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E0D9E4-87A4-487A-BC0F-A7A701E226D7}">
  <we:reference id="876bbefe-7635-4ff2-af65-156f022b5530" version="1.0.0.1" store="EXCatalog" storeType="EXCatalog"/>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d6338997-214a-4f92-ba75-0397f10a84cc}" enabled="0" method="" siteId="{d6338997-214a-4f92-ba75-0397f10a84cc}"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4868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Christensen</dc:creator>
  <cp:keywords/>
  <dc:description/>
  <cp:lastModifiedBy>Sandra Chanie Fragtrup</cp:lastModifiedBy>
  <cp:revision>3</cp:revision>
  <dcterms:created xsi:type="dcterms:W3CDTF">2026-02-18T10:20:00Z</dcterms:created>
  <dcterms:modified xsi:type="dcterms:W3CDTF">2026-02-18T10:20:00Z</dcterms:modified>
</cp:coreProperties>
</file>